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2240"/>
        <w:tblBorders>
          <w:top w:val="single" w:color="auto" w:sz="4"/>
          <w:left w:val="single" w:color="auto" w:sz="4"/>
          <w:bottom w:val="single" w:color="auto" w:sz="4"/>
          <w:right w:val="single" w:color="auto" w:sz="4"/>
          <w:insideH w:val="single" w:color="auto" w:sz="4"/>
          <w:insideV w:val="single" w:color="auto" w:sz="4"/>
        </w:tblBorders>
      </w:tblPr>
      <w:tblGrid>
        <w:gridCol w:w="12240"/>
      </w:tblGrid>
      <w:tr>
        <w:trPr>
          <w:trHeight w:val="15840" w:hRule="atLeast"/>
        </w:trPr>
        <w:tc>
          <w:tcPr>
            <w:tcW w:type="dxa" w:w="12240"/>
            <w:tcBorders>
              <w:top w:val="none" w:color="FFFFFF" w:sz="0"/>
              <w:left w:val="none" w:color="FFFFFF" w:sz="0"/>
              <w:bottom w:val="none" w:color="FFFFFF" w:sz="0"/>
              <w:right w:val="none" w:color="FFFFFF" w:sz="0"/>
            </w:tcBorders>
            <w:shd w:fill="000000" w:val="clear"/>
            <w:tcMar>
              <w:top w:type="dxa" w:w="0"/>
              <w:left w:type="dxa" w:w="0"/>
              <w:bottom w:type="dxa" w:w="0"/>
              <w:right w:type="dxa" w:w="0"/>
            </w:tcMar>
            <w:vAlign w:val="center"/>
          </w:tcPr>
          <w:p>
            <w:pPr>
              <w:spacing w:after="0" w:before="0"/>
              <w:jc w:val="center"/>
            </w:pPr>
            <w:r>
              <w:rPr>
                <w:rFonts w:ascii="Calibri" w:cs="Calibri" w:eastAsia="Calibri" w:hAnsi="Calibri"/>
                <w:b/>
                <w:bCs/>
                <w:color w:val="B8952B"/>
                <w:spacing w:val="40"/>
                <w:sz w:val="20"/>
                <w:szCs w:val="20"/>
              </w:rPr>
              <w:t xml:space="preserve">SUPPORT CENTER</w:t>
            </w:r>
          </w:p>
          <w:p>
            <w:pPr>
              <w:spacing w:after="0" w:before="400"/>
              <w:jc w:val="center"/>
            </w:pPr>
            <w:r>
              <w:rPr>
                <w:rFonts w:ascii="Georgia" w:cs="Georgia" w:eastAsia="Georgia" w:hAnsi="Georgia"/>
                <w:b/>
                <w:bCs/>
                <w:color w:val="FFFFFF"/>
                <w:sz w:val="64"/>
                <w:szCs w:val="64"/>
              </w:rPr>
              <w:t xml:space="preserve">Opening Your Healthcare Clinic</w:t>
            </w:r>
          </w:p>
          <w:p>
            <w:pPr>
              <w:spacing w:after="500" w:before="0"/>
              <w:jc w:val="center"/>
            </w:pPr>
            <w:r>
              <w:rPr>
                <w:rFonts w:ascii="Georgia" w:cs="Georgia" w:eastAsia="Georgia" w:hAnsi="Georgia"/>
                <w:b/>
                <w:bCs/>
                <w:color w:val="B8952B"/>
                <w:sz w:val="64"/>
                <w:szCs w:val="64"/>
              </w:rPr>
              <w:t xml:space="preserve">in Florida</w:t>
            </w:r>
          </w:p>
          <w:p>
            <w:pPr>
              <w:spacing w:after="3600" w:before="0"/>
              <w:jc w:val="center"/>
            </w:pPr>
            <w:r>
              <w:rPr>
                <w:rFonts w:ascii="Calibri" w:cs="Calibri" w:eastAsia="Calibri" w:hAnsi="Calibri"/>
                <w:i/>
                <w:iCs/>
                <w:color w:val="C7CEDB"/>
                <w:sz w:val="26"/>
                <w:szCs w:val="26"/>
              </w:rPr>
              <w:t xml:space="preserve">A Starter's Roadmap to Licensing, Credentialing, and Compliance</w:t>
            </w:r>
          </w:p>
          <w:p>
            <w:pPr>
              <w:spacing w:after="200" w:before="0"/>
              <w:jc w:val="center"/>
            </w:pPr>
            <w:r>
              <w:rPr>
                <w:rFonts w:ascii="Calibri" w:cs="Calibri" w:eastAsia="Calibri" w:hAnsi="Calibri"/>
                <w:b/>
                <w:bCs/>
                <w:color w:val="B8952B"/>
                <w:spacing w:val="30"/>
                <w:sz w:val="18"/>
                <w:szCs w:val="18"/>
              </w:rPr>
              <w:t xml:space="preserve">A GUIDE BY</w:t>
            </w:r>
          </w:p>
          <w:p>
            <w:pPr>
              <w:spacing w:after="0" w:before="0"/>
              <w:jc w:val="center"/>
            </w:pPr>
            <w:r>
              <w:rPr>
                <w:rFonts w:ascii="Georgia" w:cs="Georgia" w:eastAsia="Georgia" w:hAnsi="Georgia"/>
                <w:b/>
                <w:bCs/>
                <w:color w:val="FFFFFF"/>
                <w:sz w:val="28"/>
                <w:szCs w:val="28"/>
              </w:rPr>
              <w:t xml:space="preserve">Alvarez Consulting &amp; Management Services</w:t>
            </w:r>
          </w:p>
        </w:tc>
      </w:tr>
    </w:tbl>
    <w:p>
      <w:pPr>
        <w:sectPr>
          <w:pgSz w:w="12240" w:h="15840" w:orient="portrait"/>
          <w:pgMar w:top="0" w:right="0" w:bottom="0" w:left="0" w:header="708" w:footer="708" w:gutter="0"/>
          <w:pgNumType/>
          <w:docGrid w:linePitch="360"/>
        </w:sectPr>
      </w:pPr>
    </w:p>
    <w:p>
      <w:pPr>
        <w:spacing w:after="200"/>
      </w:pPr>
      <w:r>
        <w:rPr>
          <w:rFonts w:ascii="Georgia" w:cs="Georgia" w:eastAsia="Georgia" w:hAnsi="Georgia"/>
          <w:b/>
          <w:bCs/>
          <w:color w:val="000000"/>
          <w:sz w:val="32"/>
          <w:szCs w:val="32"/>
        </w:rPr>
        <w:t xml:space="preserve">Before You Open Your Doors</w:t>
      </w:r>
    </w:p>
    <w:p>
      <w:pPr>
        <w:spacing w:after="200" w:line="320"/>
      </w:pPr>
      <w:r>
        <w:rPr>
          <w:rFonts w:ascii="Calibri" w:cs="Calibri" w:eastAsia="Calibri" w:hAnsi="Calibri"/>
          <w:color w:val="3C3C3C"/>
          <w:sz w:val="22"/>
          <w:szCs w:val="22"/>
        </w:rPr>
        <w:t xml:space="preserve">Opening a healthcare clinic in Florida means navigating several layers of registration, licensure, and compliance — federal, state, and local. This guide walks through the major milestones every new clinic owner needs to know about, in the order they typically come up.</w:t>
      </w:r>
    </w:p>
    <w:p>
      <w:pPr>
        <w:spacing w:after="200" w:line="320"/>
      </w:pPr>
      <w:r>
        <w:rPr>
          <w:rFonts w:ascii="Calibri" w:cs="Calibri" w:eastAsia="Calibri" w:hAnsi="Calibri"/>
          <w:color w:val="3C3C3C"/>
          <w:sz w:val="22"/>
          <w:szCs w:val="22"/>
        </w:rPr>
        <w:t xml:space="preserve">Every specialty and business structure is a little different, and the exact requirements that apply to your clinic will depend on factors like your services, ownership, county, and whether you're opening independently or joining an existing group. Think of this as your orientation to the process — not a substitute for a licensing review specific to your situation.</w:t>
      </w:r>
    </w:p>
    <w:p>
      <w:r>
        <w:br w:type="page"/>
      </w:r>
    </w:p>
    <w:p>
      <w:pPr>
        <w:pBdr>
          <w:bottom w:val="single" w:color="B8952B" w:sz="6" w:space="6"/>
        </w:pBdr>
        <w:spacing w:after="200" w:before="480"/>
      </w:pPr>
      <w:r>
        <w:rPr>
          <w:rFonts w:ascii="Georgia" w:cs="Georgia" w:eastAsia="Georgia" w:hAnsi="Georgia"/>
          <w:b/>
          <w:bCs/>
          <w:color w:val="B8952B"/>
          <w:sz w:val="26"/>
          <w:szCs w:val="26"/>
        </w:rPr>
        <w:t xml:space="preserve">01  </w:t>
      </w:r>
      <w:r>
        <w:rPr>
          <w:rFonts w:ascii="Georgia" w:cs="Georgia" w:eastAsia="Georgia" w:hAnsi="Georgia"/>
          <w:b/>
          <w:bCs/>
          <w:color w:val="000000"/>
          <w:sz w:val="26"/>
          <w:szCs w:val="26"/>
        </w:rPr>
        <w:t xml:space="preserve">Choose Your Business Structure &amp; Register Your Entity</w:t>
      </w:r>
    </w:p>
    <w:p>
      <w:pPr>
        <w:spacing w:after="200" w:line="320"/>
      </w:pPr>
      <w:r>
        <w:rPr>
          <w:rFonts w:ascii="Calibri" w:cs="Calibri" w:eastAsia="Calibri" w:hAnsi="Calibri"/>
          <w:color w:val="3C3C3C"/>
          <w:sz w:val="22"/>
          <w:szCs w:val="22"/>
        </w:rPr>
        <w:t xml:space="preserve">Before anything else, decide how your clinic will be legally organized — as an LLC, a professional corporation, or another entity type — and register it with the Florida Division of Corporations (Sunbiz). This step establishes your legal identity and is a prerequisite for nearly everything that follows, including your EIN, NPI, and licensure applications.</w:t>
      </w:r>
    </w:p>
    <w:p>
      <w:pPr>
        <w:pStyle w:val="ListParagraph"/>
        <w:numPr>
          <w:ilvl w:val="0"/>
          <w:numId w:val="2"/>
        </w:numPr>
        <w:spacing w:after="100" w:line="300"/>
      </w:pPr>
      <w:r>
        <w:rPr>
          <w:rFonts w:ascii="Calibri" w:cs="Calibri" w:eastAsia="Calibri" w:hAnsi="Calibri"/>
          <w:color w:val="3C3C3C"/>
          <w:sz w:val="22"/>
          <w:szCs w:val="22"/>
        </w:rPr>
        <w:t xml:space="preserve">Select an entity type appropriate for a healthcare business in Florida</w:t>
      </w:r>
    </w:p>
    <w:p>
      <w:pPr>
        <w:pStyle w:val="ListParagraph"/>
        <w:numPr>
          <w:ilvl w:val="0"/>
          <w:numId w:val="2"/>
        </w:numPr>
        <w:spacing w:after="100" w:line="300"/>
      </w:pPr>
      <w:r>
        <w:rPr>
          <w:rFonts w:ascii="Calibri" w:cs="Calibri" w:eastAsia="Calibri" w:hAnsi="Calibri"/>
          <w:color w:val="3C3C3C"/>
          <w:sz w:val="22"/>
          <w:szCs w:val="22"/>
        </w:rPr>
        <w:t xml:space="preserve">Register your entity name and designate a registered agent</w:t>
      </w:r>
    </w:p>
    <w:p>
      <w:pPr>
        <w:pStyle w:val="ListParagraph"/>
        <w:numPr>
          <w:ilvl w:val="0"/>
          <w:numId w:val="2"/>
        </w:numPr>
        <w:spacing w:after="100" w:line="300"/>
      </w:pPr>
      <w:r>
        <w:rPr>
          <w:rFonts w:ascii="Calibri" w:cs="Calibri" w:eastAsia="Calibri" w:hAnsi="Calibri"/>
          <w:color w:val="3C3C3C"/>
          <w:sz w:val="22"/>
          <w:szCs w:val="22"/>
        </w:rPr>
        <w:t xml:space="preserve">Keep your Sunbiz filing current — lapses can hold up licensing later</w:t>
      </w:r>
    </w:p>
    <w:p>
      <w:pPr>
        <w:pBdr>
          <w:bottom w:val="single" w:color="B8952B" w:sz="6" w:space="6"/>
        </w:pBdr>
        <w:spacing w:after="200" w:before="480"/>
      </w:pPr>
      <w:r>
        <w:rPr>
          <w:rFonts w:ascii="Georgia" w:cs="Georgia" w:eastAsia="Georgia" w:hAnsi="Georgia"/>
          <w:b/>
          <w:bCs/>
          <w:color w:val="B8952B"/>
          <w:sz w:val="26"/>
          <w:szCs w:val="26"/>
        </w:rPr>
        <w:t xml:space="preserve">02  </w:t>
      </w:r>
      <w:r>
        <w:rPr>
          <w:rFonts w:ascii="Georgia" w:cs="Georgia" w:eastAsia="Georgia" w:hAnsi="Georgia"/>
          <w:b/>
          <w:bCs/>
          <w:color w:val="000000"/>
          <w:sz w:val="26"/>
          <w:szCs w:val="26"/>
        </w:rPr>
        <w:t xml:space="preserve">Obtain Your Employer Identification Number (EIN)</w:t>
      </w:r>
    </w:p>
    <w:p>
      <w:pPr>
        <w:spacing w:after="200" w:line="320"/>
      </w:pPr>
      <w:r>
        <w:rPr>
          <w:rFonts w:ascii="Calibri" w:cs="Calibri" w:eastAsia="Calibri" w:hAnsi="Calibri"/>
          <w:color w:val="3C3C3C"/>
          <w:sz w:val="22"/>
          <w:szCs w:val="22"/>
        </w:rPr>
        <w:t xml:space="preserve">Your EIN is issued by the IRS and functions as your business's tax ID. You'll need it to open a business bank account, hire staff, and complete most state licensing and payer enrollment applications. It's a free, one-time application — but it needs to happen early, since so many later steps depend on it.</w:t>
      </w:r>
    </w:p>
    <w:p>
      <w:pPr>
        <w:pBdr>
          <w:bottom w:val="single" w:color="B8952B" w:sz="6" w:space="6"/>
        </w:pBdr>
        <w:spacing w:after="200" w:before="480"/>
      </w:pPr>
      <w:r>
        <w:rPr>
          <w:rFonts w:ascii="Georgia" w:cs="Georgia" w:eastAsia="Georgia" w:hAnsi="Georgia"/>
          <w:b/>
          <w:bCs/>
          <w:color w:val="B8952B"/>
          <w:sz w:val="26"/>
          <w:szCs w:val="26"/>
        </w:rPr>
        <w:t xml:space="preserve">03  </w:t>
      </w:r>
      <w:r>
        <w:rPr>
          <w:rFonts w:ascii="Georgia" w:cs="Georgia" w:eastAsia="Georgia" w:hAnsi="Georgia"/>
          <w:b/>
          <w:bCs/>
          <w:color w:val="000000"/>
          <w:sz w:val="26"/>
          <w:szCs w:val="26"/>
        </w:rPr>
        <w:t xml:space="preserve">Apply for Your National Provider Identifier (NPI)</w:t>
      </w:r>
    </w:p>
    <w:p>
      <w:pPr>
        <w:spacing w:after="200" w:line="320"/>
      </w:pPr>
      <w:r>
        <w:rPr>
          <w:rFonts w:ascii="Calibri" w:cs="Calibri" w:eastAsia="Calibri" w:hAnsi="Calibri"/>
          <w:color w:val="3C3C3C"/>
          <w:sz w:val="22"/>
          <w:szCs w:val="22"/>
        </w:rPr>
        <w:t xml:space="preserve">Every practitioner needs an individual (Type 1) NPI, and most clinic entities also need an organizational (Type 2) NPI. These identifiers are required before you can enroll with Medicare, Medicaid, or any commercial insurance payer — so this needs to happen well before you're ready to see patients and bill for services.</w:t>
      </w:r>
    </w:p>
    <w:p>
      <w:r>
        <w:br w:type="page"/>
      </w:r>
    </w:p>
    <w:p>
      <w:pPr>
        <w:pBdr>
          <w:bottom w:val="single" w:color="B8952B" w:sz="6" w:space="6"/>
        </w:pBdr>
        <w:spacing w:after="200" w:before="480"/>
      </w:pPr>
      <w:r>
        <w:rPr>
          <w:rFonts w:ascii="Georgia" w:cs="Georgia" w:eastAsia="Georgia" w:hAnsi="Georgia"/>
          <w:b/>
          <w:bCs/>
          <w:color w:val="B8952B"/>
          <w:sz w:val="26"/>
          <w:szCs w:val="26"/>
        </w:rPr>
        <w:t xml:space="preserve">04  </w:t>
      </w:r>
      <w:r>
        <w:rPr>
          <w:rFonts w:ascii="Georgia" w:cs="Georgia" w:eastAsia="Georgia" w:hAnsi="Georgia"/>
          <w:b/>
          <w:bCs/>
          <w:color w:val="000000"/>
          <w:sz w:val="26"/>
          <w:szCs w:val="26"/>
        </w:rPr>
        <w:t xml:space="preserve">Determine Your State Licensure Path</w:t>
      </w:r>
    </w:p>
    <w:p>
      <w:pPr>
        <w:spacing w:after="200" w:line="320"/>
      </w:pPr>
      <w:r>
        <w:rPr>
          <w:rFonts w:ascii="Calibri" w:cs="Calibri" w:eastAsia="Calibri" w:hAnsi="Calibri"/>
          <w:color w:val="3C3C3C"/>
          <w:sz w:val="22"/>
          <w:szCs w:val="22"/>
        </w:rPr>
        <w:t xml:space="preserve">Not every practice needs an AHCA Health Care Clinic license — and not every practice is exempt. Whether your clinic falls under AHCA's Health Care Clinic Act, a specialty-specific license category, or an exemption depends on your ownership structure, the services you provide, and who's rendering care. Getting this determination wrong — in either direction — can delay your opening or create compliance exposure down the road.</w:t>
      </w:r>
    </w:p>
    <w:p>
      <w:pPr>
        <w:spacing w:after="200" w:line="320"/>
      </w:pPr>
      <w:r>
        <w:rPr>
          <w:rFonts w:ascii="Calibri" w:cs="Calibri" w:eastAsia="Calibri" w:hAnsi="Calibri"/>
          <w:color w:val="3C3C3C"/>
          <w:sz w:val="22"/>
          <w:szCs w:val="22"/>
        </w:rPr>
        <w:t xml:space="preserve">This is one of the most common places new clinic owners get stuck, because the exemptions and licensure categories intersect with ownership and specialty in ways that aren't always obvious from the statute alone.</w:t>
      </w:r>
    </w:p>
    <w:p>
      <w:pPr>
        <w:pBdr>
          <w:bottom w:val="single" w:color="B8952B" w:sz="6" w:space="6"/>
        </w:pBdr>
        <w:spacing w:after="200" w:before="480"/>
      </w:pPr>
      <w:r>
        <w:rPr>
          <w:rFonts w:ascii="Georgia" w:cs="Georgia" w:eastAsia="Georgia" w:hAnsi="Georgia"/>
          <w:b/>
          <w:bCs/>
          <w:color w:val="B8952B"/>
          <w:sz w:val="26"/>
          <w:szCs w:val="26"/>
        </w:rPr>
        <w:t xml:space="preserve">05  </w:t>
      </w:r>
      <w:r>
        <w:rPr>
          <w:rFonts w:ascii="Georgia" w:cs="Georgia" w:eastAsia="Georgia" w:hAnsi="Georgia"/>
          <w:b/>
          <w:bCs/>
          <w:color w:val="000000"/>
          <w:sz w:val="26"/>
          <w:szCs w:val="26"/>
        </w:rPr>
        <w:t xml:space="preserve">Apply for AHCA Licensure (If Applicable)</w:t>
      </w:r>
    </w:p>
    <w:p>
      <w:pPr>
        <w:spacing w:after="200" w:line="320"/>
      </w:pPr>
      <w:r>
        <w:rPr>
          <w:rFonts w:ascii="Calibri" w:cs="Calibri" w:eastAsia="Calibri" w:hAnsi="Calibri"/>
          <w:color w:val="3C3C3C"/>
          <w:sz w:val="22"/>
          <w:szCs w:val="22"/>
        </w:rPr>
        <w:t xml:space="preserve">If your clinic requires AHCA licensure, the application process involves background screening for owners and the designated medical director, facility readiness for inspection, and a set of required policies and procedures submitted with your application. Processing timelines vary by license type and completeness of your submission.</w:t>
      </w:r>
    </w:p>
    <w:p>
      <w:pPr>
        <w:pStyle w:val="ListParagraph"/>
        <w:numPr>
          <w:ilvl w:val="0"/>
          <w:numId w:val="2"/>
        </w:numPr>
        <w:spacing w:after="100" w:line="300"/>
      </w:pPr>
      <w:r>
        <w:rPr>
          <w:rFonts w:ascii="Calibri" w:cs="Calibri" w:eastAsia="Calibri" w:hAnsi="Calibri"/>
          <w:color w:val="3C3C3C"/>
          <w:sz w:val="22"/>
          <w:szCs w:val="22"/>
        </w:rPr>
        <w:t xml:space="preserve">Confirm your license category and applicable fee</w:t>
      </w:r>
    </w:p>
    <w:p>
      <w:pPr>
        <w:pStyle w:val="ListParagraph"/>
        <w:numPr>
          <w:ilvl w:val="0"/>
          <w:numId w:val="2"/>
        </w:numPr>
        <w:spacing w:after="100" w:line="300"/>
      </w:pPr>
      <w:r>
        <w:rPr>
          <w:rFonts w:ascii="Calibri" w:cs="Calibri" w:eastAsia="Calibri" w:hAnsi="Calibri"/>
          <w:color w:val="3C3C3C"/>
          <w:sz w:val="22"/>
          <w:szCs w:val="22"/>
        </w:rPr>
        <w:t xml:space="preserve">Identify and designate your medical director where required</w:t>
      </w:r>
    </w:p>
    <w:p>
      <w:pPr>
        <w:pStyle w:val="ListParagraph"/>
        <w:numPr>
          <w:ilvl w:val="0"/>
          <w:numId w:val="2"/>
        </w:numPr>
        <w:spacing w:after="100" w:line="300"/>
      </w:pPr>
      <w:r>
        <w:rPr>
          <w:rFonts w:ascii="Calibri" w:cs="Calibri" w:eastAsia="Calibri" w:hAnsi="Calibri"/>
          <w:color w:val="3C3C3C"/>
          <w:sz w:val="22"/>
          <w:szCs w:val="22"/>
        </w:rPr>
        <w:t xml:space="preserve">Prepare your facility and required documentation for review</w:t>
      </w:r>
    </w:p>
    <w:p>
      <w:r>
        <w:br w:type="page"/>
      </w:r>
    </w:p>
    <w:p>
      <w:pPr>
        <w:pBdr>
          <w:bottom w:val="single" w:color="B8952B" w:sz="6" w:space="6"/>
        </w:pBdr>
        <w:spacing w:after="200" w:before="480"/>
      </w:pPr>
      <w:r>
        <w:rPr>
          <w:rFonts w:ascii="Georgia" w:cs="Georgia" w:eastAsia="Georgia" w:hAnsi="Georgia"/>
          <w:b/>
          <w:bCs/>
          <w:color w:val="B8952B"/>
          <w:sz w:val="26"/>
          <w:szCs w:val="26"/>
        </w:rPr>
        <w:t xml:space="preserve">06  </w:t>
      </w:r>
      <w:r>
        <w:rPr>
          <w:rFonts w:ascii="Georgia" w:cs="Georgia" w:eastAsia="Georgia" w:hAnsi="Georgia"/>
          <w:b/>
          <w:bCs/>
          <w:color w:val="000000"/>
          <w:sz w:val="26"/>
          <w:szCs w:val="26"/>
        </w:rPr>
        <w:t xml:space="preserve">Secure County &amp; City Approvals</w:t>
      </w:r>
    </w:p>
    <w:p>
      <w:pPr>
        <w:spacing w:after="200" w:line="320"/>
      </w:pPr>
      <w:r>
        <w:rPr>
          <w:rFonts w:ascii="Calibri" w:cs="Calibri" w:eastAsia="Calibri" w:hAnsi="Calibri"/>
          <w:color w:val="3C3C3C"/>
          <w:sz w:val="22"/>
          <w:szCs w:val="22"/>
        </w:rPr>
        <w:t xml:space="preserve">Beyond state licensure, most clinics also need a local Business Tax Receipt, zoning approval or a Certificate of Use, and sometimes a fire marshal inspection — and these requirements vary significantly from one Florida county or city to the next. It's worth confirming local requirements early, since some can take longer to clear than the state application itself.</w:t>
      </w:r>
    </w:p>
    <w:p>
      <w:pPr>
        <w:pBdr>
          <w:bottom w:val="single" w:color="B8952B" w:sz="6" w:space="6"/>
        </w:pBdr>
        <w:spacing w:after="200" w:before="480"/>
      </w:pPr>
      <w:r>
        <w:rPr>
          <w:rFonts w:ascii="Georgia" w:cs="Georgia" w:eastAsia="Georgia" w:hAnsi="Georgia"/>
          <w:b/>
          <w:bCs/>
          <w:color w:val="B8952B"/>
          <w:sz w:val="26"/>
          <w:szCs w:val="26"/>
        </w:rPr>
        <w:t xml:space="preserve">07  </w:t>
      </w:r>
      <w:r>
        <w:rPr>
          <w:rFonts w:ascii="Georgia" w:cs="Georgia" w:eastAsia="Georgia" w:hAnsi="Georgia"/>
          <w:b/>
          <w:bCs/>
          <w:color w:val="000000"/>
          <w:sz w:val="26"/>
          <w:szCs w:val="26"/>
        </w:rPr>
        <w:t xml:space="preserve">Build Your Compliance Foundation</w:t>
      </w:r>
    </w:p>
    <w:p>
      <w:pPr>
        <w:spacing w:after="200" w:line="320"/>
      </w:pPr>
      <w:r>
        <w:rPr>
          <w:rFonts w:ascii="Calibri" w:cs="Calibri" w:eastAsia="Calibri" w:hAnsi="Calibri"/>
          <w:color w:val="3C3C3C"/>
          <w:sz w:val="22"/>
          <w:szCs w:val="22"/>
        </w:rPr>
        <w:t xml:space="preserve">HIPAA privacy and security policies, an OSHA workplace safety plan, and an internal compliance program should be in place before you see your first patient — not assembled after a survey or complaint prompts a review. Required workplace postings and staff training records fall into this category as well.</w:t>
      </w:r>
    </w:p>
    <w:p>
      <w:pPr>
        <w:pBdr>
          <w:bottom w:val="single" w:color="B8952B" w:sz="6" w:space="6"/>
        </w:pBdr>
        <w:spacing w:after="200" w:before="480"/>
      </w:pPr>
      <w:r>
        <w:rPr>
          <w:rFonts w:ascii="Georgia" w:cs="Georgia" w:eastAsia="Georgia" w:hAnsi="Georgia"/>
          <w:b/>
          <w:bCs/>
          <w:color w:val="B8952B"/>
          <w:sz w:val="26"/>
          <w:szCs w:val="26"/>
        </w:rPr>
        <w:t xml:space="preserve">08  </w:t>
      </w:r>
      <w:r>
        <w:rPr>
          <w:rFonts w:ascii="Georgia" w:cs="Georgia" w:eastAsia="Georgia" w:hAnsi="Georgia"/>
          <w:b/>
          <w:bCs/>
          <w:color w:val="000000"/>
          <w:sz w:val="26"/>
          <w:szCs w:val="26"/>
        </w:rPr>
        <w:t xml:space="preserve">Credential With Payers</w:t>
      </w:r>
    </w:p>
    <w:p>
      <w:pPr>
        <w:spacing w:after="200" w:line="320"/>
      </w:pPr>
      <w:r>
        <w:rPr>
          <w:rFonts w:ascii="Calibri" w:cs="Calibri" w:eastAsia="Calibri" w:hAnsi="Calibri"/>
          <w:color w:val="3C3C3C"/>
          <w:sz w:val="22"/>
          <w:szCs w:val="22"/>
        </w:rPr>
        <w:t xml:space="preserve">Licensure gets you the right to operate; payer credentialing is what lets you bill for the care you provide. Enrollment with Medicare, Medicaid, and commercial insurance carriers is a separate process from state licensure, with its own applications, timelines, and follow-up — and it can take anywhere from several weeks to several months per payer.</w:t>
      </w:r>
    </w:p>
    <w:p>
      <w:r>
        <w:br w:type="page"/>
      </w:r>
    </w:p>
    <w:p>
      <w:pPr>
        <w:pBdr>
          <w:bottom w:val="single" w:color="B8952B" w:sz="6" w:space="6"/>
        </w:pBdr>
        <w:spacing w:after="200" w:before="480"/>
      </w:pPr>
      <w:r>
        <w:rPr>
          <w:rFonts w:ascii="Georgia" w:cs="Georgia" w:eastAsia="Georgia" w:hAnsi="Georgia"/>
          <w:b/>
          <w:bCs/>
          <w:color w:val="B8952B"/>
          <w:sz w:val="26"/>
          <w:szCs w:val="26"/>
        </w:rPr>
        <w:t xml:space="preserve">09  </w:t>
      </w:r>
      <w:r>
        <w:rPr>
          <w:rFonts w:ascii="Georgia" w:cs="Georgia" w:eastAsia="Georgia" w:hAnsi="Georgia"/>
          <w:b/>
          <w:bCs/>
          <w:color w:val="000000"/>
          <w:sz w:val="26"/>
          <w:szCs w:val="26"/>
        </w:rPr>
        <w:t xml:space="preserve">Verify Staffing Compliance</w:t>
      </w:r>
    </w:p>
    <w:p>
      <w:pPr>
        <w:spacing w:after="200" w:line="320"/>
      </w:pPr>
      <w:r>
        <w:rPr>
          <w:rFonts w:ascii="Calibri" w:cs="Calibri" w:eastAsia="Calibri" w:hAnsi="Calibri"/>
          <w:color w:val="3C3C3C"/>
          <w:sz w:val="22"/>
          <w:szCs w:val="22"/>
        </w:rPr>
        <w:t xml:space="preserve">Owners and any staff with direct patient contact typically need Level 2 background screening, and every practitioner's professional license should be verified as active and in good standing before their first day. Keeping this documentation organized from day one makes future renewals and surveys far easier.</w:t>
      </w:r>
    </w:p>
    <w:p>
      <w:pPr>
        <w:pBdr>
          <w:bottom w:val="single" w:color="B8952B" w:sz="6" w:space="6"/>
        </w:pBdr>
        <w:spacing w:after="200" w:before="480"/>
      </w:pPr>
      <w:r>
        <w:rPr>
          <w:rFonts w:ascii="Georgia" w:cs="Georgia" w:eastAsia="Georgia" w:hAnsi="Georgia"/>
          <w:b/>
          <w:bCs/>
          <w:color w:val="B8952B"/>
          <w:sz w:val="26"/>
          <w:szCs w:val="26"/>
        </w:rPr>
        <w:t xml:space="preserve">10  </w:t>
      </w:r>
      <w:r>
        <w:rPr>
          <w:rFonts w:ascii="Georgia" w:cs="Georgia" w:eastAsia="Georgia" w:hAnsi="Georgia"/>
          <w:b/>
          <w:bCs/>
          <w:color w:val="000000"/>
          <w:sz w:val="26"/>
          <w:szCs w:val="26"/>
        </w:rPr>
        <w:t xml:space="preserve">Secure Insurance Coverage</w:t>
      </w:r>
    </w:p>
    <w:p>
      <w:pPr>
        <w:spacing w:after="200" w:line="320"/>
      </w:pPr>
      <w:r>
        <w:rPr>
          <w:rFonts w:ascii="Calibri" w:cs="Calibri" w:eastAsia="Calibri" w:hAnsi="Calibri"/>
          <w:color w:val="3C3C3C"/>
          <w:sz w:val="22"/>
          <w:szCs w:val="22"/>
        </w:rPr>
        <w:t xml:space="preserve">General liability, professional (malpractice) liability, and workers' compensation coverage are typically required before your licensure can be finalized — and some payers will ask to see proof of coverage during credentialing as well.</w:t>
      </w:r>
    </w:p>
    <w:p>
      <w:pPr>
        <w:pBdr>
          <w:bottom w:val="single" w:color="B8952B" w:sz="6" w:space="6"/>
        </w:pBdr>
        <w:spacing w:after="200" w:before="480"/>
      </w:pPr>
      <w:r>
        <w:rPr>
          <w:rFonts w:ascii="Georgia" w:cs="Georgia" w:eastAsia="Georgia" w:hAnsi="Georgia"/>
          <w:b/>
          <w:bCs/>
          <w:color w:val="B8952B"/>
          <w:sz w:val="26"/>
          <w:szCs w:val="26"/>
        </w:rPr>
        <w:t xml:space="preserve">11  </w:t>
      </w:r>
      <w:r>
        <w:rPr>
          <w:rFonts w:ascii="Georgia" w:cs="Georgia" w:eastAsia="Georgia" w:hAnsi="Georgia"/>
          <w:b/>
          <w:bCs/>
          <w:color w:val="000000"/>
          <w:sz w:val="26"/>
          <w:szCs w:val="26"/>
        </w:rPr>
        <w:t xml:space="preserve">Plan for Ongoing Compliance</w:t>
      </w:r>
    </w:p>
    <w:p>
      <w:pPr>
        <w:spacing w:after="200" w:line="320"/>
      </w:pPr>
      <w:r>
        <w:rPr>
          <w:rFonts w:ascii="Calibri" w:cs="Calibri" w:eastAsia="Calibri" w:hAnsi="Calibri"/>
          <w:color w:val="3C3C3C"/>
          <w:sz w:val="22"/>
          <w:szCs w:val="22"/>
        </w:rPr>
        <w:t xml:space="preserve">Opening your clinic is the beginning, not the finish line. Licenses require periodic renewal, staffing records need to stay current as your team changes, and AHCA-licensed facilities are subject to periodic surveys. Building a simple compliance calendar now will save you a lot of stress later.</w:t>
      </w:r>
    </w:p>
    <w:p>
      <w:r>
        <w:br w:type="page"/>
      </w:r>
    </w:p>
    <w:p>
      <w:pPr>
        <w:spacing w:after="200"/>
      </w:pPr>
      <w:r>
        <w:rPr>
          <w:rFonts w:ascii="Georgia" w:cs="Georgia" w:eastAsia="Georgia" w:hAnsi="Georgia"/>
          <w:b/>
          <w:bCs/>
          <w:color w:val="000000"/>
          <w:sz w:val="32"/>
          <w:szCs w:val="32"/>
        </w:rPr>
        <w:t xml:space="preserve">You Don't Have to Navigate This Alone</w:t>
      </w:r>
    </w:p>
    <w:p>
      <w:pPr>
        <w:spacing w:after="200" w:line="320"/>
      </w:pPr>
      <w:r>
        <w:rPr>
          <w:rFonts w:ascii="Calibri" w:cs="Calibri" w:eastAsia="Calibri" w:hAnsi="Calibri"/>
          <w:color w:val="3C3C3C"/>
          <w:sz w:val="22"/>
          <w:szCs w:val="22"/>
        </w:rPr>
        <w:t xml:space="preserve">Every one of the steps above has its own nuances — exemptions, edge cases, and specialty-specific requirements that don't always show up until you're already in the middle of an application. That's exactly the kind of thing a licensing and compliance consultant is there to catch before it becomes a delay.</w:t>
      </w:r>
    </w:p>
    <w:p>
      <w:pPr>
        <w:pBdr>
          <w:top w:val="single" w:color="B8952B" w:sz="6" w:space="8"/>
          <w:bottom w:val="single" w:color="B8952B" w:sz="6" w:space="8"/>
          <w:left w:val="single" w:color="B8952B" w:sz="6" w:space="8"/>
          <w:right w:val="single" w:color="B8952B" w:sz="6" w:space="8"/>
        </w:pBdr>
        <w:shd w:fill="F6F1E4" w:val="clear"/>
        <w:spacing w:after="0" w:before="200"/>
      </w:pPr>
      <w:r>
        <w:rPr>
          <w:rFonts w:ascii="Georgia" w:cs="Georgia" w:eastAsia="Georgia" w:hAnsi="Georgia"/>
          <w:b/>
          <w:bCs/>
          <w:color w:val="000000"/>
          <w:sz w:val="24"/>
          <w:szCs w:val="24"/>
        </w:rPr>
        <w:t xml:space="preserve">  Ready for a Roadmap Built Around Your Clinic?</w:t>
      </w:r>
    </w:p>
    <w:p>
      <w:pPr>
        <w:pBdr>
          <w:bottom w:val="single" w:color="B8952B" w:sz="6" w:space="8"/>
          <w:left w:val="single" w:color="B8952B" w:sz="6" w:space="8"/>
          <w:right w:val="single" w:color="B8952B" w:sz="6" w:space="8"/>
        </w:pBdr>
        <w:shd w:fill="F6F1E4" w:val="clear"/>
        <w:spacing w:after="300" w:before="120"/>
      </w:pPr>
      <w:r>
        <w:rPr>
          <w:rFonts w:ascii="Calibri" w:cs="Calibri" w:eastAsia="Calibri" w:hAnsi="Calibri"/>
          <w:color w:val="3C3C3C"/>
          <w:sz w:val="22"/>
          <w:szCs w:val="22"/>
        </w:rPr>
        <w:t xml:space="preserve">  Alvarez Consulting &amp; Management Services guides Florida clinics through AHCA licensing, credentialing, and compliance from the first application to opening day. Visit consultingalvarez.com to schedule a consultation.</w:t>
      </w:r>
    </w:p>
    <w:sectPr>
      <w:headerReference w:type="default" r:id="rId7"/>
      <w:footerReference w:type="default" r:id="rId8"/>
      <w:pgSz w:w="12240" w:h="15840" w:orient="portrait"/>
      <w:pgMar w:top="1440" w:right="1350" w:bottom="144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A8A8A"/>
        <w:sz w:val="16"/>
        <w:szCs w:val="16"/>
      </w:rPr>
      <w:t xml:space="preserve">Page </w:t>
    </w:r>
    <w:r>
      <w:rPr>
        <w:rFonts w:ascii="Calibri" w:cs="Calibri" w:eastAsia="Calibri" w:hAnsi="Calibri"/>
        <w:color w:val="8A8A8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2BE" w:sz="4" w:space="4"/>
      </w:pBdr>
      <w:jc w:val="right"/>
    </w:pPr>
    <w:r>
      <w:rPr>
        <w:rFonts w:ascii="Calibri" w:cs="Calibri" w:eastAsia="Calibri" w:hAnsi="Calibri"/>
        <w:b/>
        <w:bCs/>
        <w:color w:val="000000"/>
        <w:spacing w:val="15"/>
        <w:sz w:val="15"/>
        <w:szCs w:val="15"/>
      </w:rPr>
      <w:t xml:space="preserve">ALVAREZ CONSULTING &amp; MANAGEMENT SERVICES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rPr>
        <w:color w:val="B8952B"/>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2026-09-17T02:39:47.326Z</dcterms:created>
  <dcterms:modified xsi:type="dcterms:W3CDTF">2026-09-17T02:39:47.333Z</dcterms:modified>
</cp:coreProperties>
</file>

<file path=docProps/custom.xml><?xml version="1.0" encoding="utf-8"?>
<Properties xmlns="http://schemas.openxmlformats.org/officeDocument/2006/custom-properties" xmlns:vt="http://schemas.openxmlformats.org/officeDocument/2006/docPropsVTypes"/>
</file>